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F7" w:rsidRDefault="00D935CA">
      <w:pPr>
        <w:rPr>
          <w:noProof/>
          <w:lang w:eastAsia="es-MX"/>
        </w:rPr>
      </w:pPr>
      <w:r>
        <w:rPr>
          <w:noProof/>
        </w:rPr>
        <w:drawing>
          <wp:anchor distT="0" distB="0" distL="114300" distR="114300" simplePos="0" relativeHeight="251669504" behindDoc="1" locked="0" layoutInCell="1" allowOverlap="1" wp14:anchorId="7F378837" wp14:editId="10719A6C">
            <wp:simplePos x="0" y="0"/>
            <wp:positionH relativeFrom="margin">
              <wp:posOffset>-380052</wp:posOffset>
            </wp:positionH>
            <wp:positionV relativeFrom="paragraph">
              <wp:posOffset>0</wp:posOffset>
            </wp:positionV>
            <wp:extent cx="1292225" cy="1154430"/>
            <wp:effectExtent l="0" t="0" r="3175" b="7620"/>
            <wp:wrapTight wrapText="bothSides">
              <wp:wrapPolygon edited="0">
                <wp:start x="5095" y="0"/>
                <wp:lineTo x="5413" y="5703"/>
                <wp:lineTo x="6050" y="11406"/>
                <wp:lineTo x="0" y="15327"/>
                <wp:lineTo x="0" y="20673"/>
                <wp:lineTo x="7961" y="21386"/>
                <wp:lineTo x="13374" y="21386"/>
                <wp:lineTo x="18469" y="21386"/>
                <wp:lineTo x="21335" y="19960"/>
                <wp:lineTo x="21335" y="14257"/>
                <wp:lineTo x="14966" y="11406"/>
                <wp:lineTo x="15603" y="0"/>
                <wp:lineTo x="5095"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BF7" w:rsidRDefault="009768C4">
      <w:pPr>
        <w:rPr>
          <w:noProof/>
          <w:lang w:eastAsia="es-MX"/>
        </w:rPr>
      </w:pPr>
      <w:r>
        <w:rPr>
          <w:noProof/>
        </w:rPr>
        <mc:AlternateContent>
          <mc:Choice Requires="wps">
            <w:drawing>
              <wp:anchor distT="0" distB="0" distL="114300" distR="114300" simplePos="0" relativeHeight="251667456" behindDoc="1" locked="0" layoutInCell="1" allowOverlap="1" wp14:anchorId="146B34C2" wp14:editId="6FD3C2C0">
                <wp:simplePos x="0" y="0"/>
                <wp:positionH relativeFrom="margin">
                  <wp:posOffset>830277</wp:posOffset>
                </wp:positionH>
                <wp:positionV relativeFrom="paragraph">
                  <wp:posOffset>165309</wp:posOffset>
                </wp:positionV>
                <wp:extent cx="5445125" cy="1459865"/>
                <wp:effectExtent l="0" t="0" r="0" b="6985"/>
                <wp:wrapTight wrapText="bothSides">
                  <wp:wrapPolygon edited="0">
                    <wp:start x="151" y="0"/>
                    <wp:lineTo x="151" y="21421"/>
                    <wp:lineTo x="21386" y="21421"/>
                    <wp:lineTo x="21386" y="0"/>
                    <wp:lineTo x="151" y="0"/>
                  </wp:wrapPolygon>
                </wp:wrapTight>
                <wp:docPr id="7" name="Cuadro de texto 7"/>
                <wp:cNvGraphicFramePr/>
                <a:graphic xmlns:a="http://schemas.openxmlformats.org/drawingml/2006/main">
                  <a:graphicData uri="http://schemas.microsoft.com/office/word/2010/wordprocessingShape">
                    <wps:wsp>
                      <wps:cNvSpPr txBox="1"/>
                      <wps:spPr>
                        <a:xfrm>
                          <a:off x="0" y="0"/>
                          <a:ext cx="5445125" cy="1459865"/>
                        </a:xfrm>
                        <a:prstGeom prst="rect">
                          <a:avLst/>
                        </a:prstGeom>
                        <a:noFill/>
                        <a:ln>
                          <a:noFill/>
                        </a:ln>
                      </wps:spPr>
                      <wps:txbx>
                        <w:txbxContent>
                          <w:p w:rsidR="009768C4" w:rsidRDefault="00D935CA" w:rsidP="00D935CA">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MANUAL DE </w:t>
                            </w:r>
                          </w:p>
                          <w:p w:rsidR="00D935CA" w:rsidRPr="002F69F6" w:rsidRDefault="00D935CA" w:rsidP="00D935CA">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SERVICIOS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B34C2" id="_x0000_t202" coordsize="21600,21600" o:spt="202" path="m,l,21600r21600,l21600,xe">
                <v:stroke joinstyle="miter"/>
                <v:path gradientshapeok="t" o:connecttype="rect"/>
              </v:shapetype>
              <v:shape id="Cuadro de texto 7" o:spid="_x0000_s1026" type="#_x0000_t202" style="position:absolute;margin-left:65.4pt;margin-top:13pt;width:428.75pt;height:114.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" filled="f" stroked="f">
                <v:textbox>
                  <w:txbxContent>
                    <w:p w:rsidR="009768C4" w:rsidRDefault="00D935CA" w:rsidP="00D935CA">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MANUAL DE </w:t>
                      </w:r>
                    </w:p>
                    <w:p w:rsidR="00D935CA" w:rsidRPr="002F69F6" w:rsidRDefault="00D935CA" w:rsidP="00D935CA">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SERVICIOS</w:t>
                      </w:r>
                    </w:p>
                  </w:txbxContent>
                </v:textbox>
                <w10:wrap type="tight" anchorx="margin"/>
              </v:shape>
            </w:pict>
          </mc:Fallback>
        </mc:AlternateContent>
      </w:r>
    </w:p>
    <w:p w:rsidR="00992F55" w:rsidRDefault="00992F55"/>
    <w:p w:rsidR="00992F55" w:rsidRDefault="00992F55"/>
    <w:p w:rsidR="00992F55" w:rsidRDefault="00992F55"/>
    <w:p w:rsidR="00992F55" w:rsidRDefault="009768C4">
      <w:r>
        <w:rPr>
          <w:noProof/>
          <w:lang w:eastAsia="es-MX"/>
        </w:rPr>
        <mc:AlternateContent>
          <mc:Choice Requires="wps">
            <w:drawing>
              <wp:anchor distT="0" distB="0" distL="114300" distR="114300" simplePos="0" relativeHeight="251657215" behindDoc="1" locked="0" layoutInCell="1" allowOverlap="1" wp14:anchorId="0FEC063D" wp14:editId="6CB81B83">
                <wp:simplePos x="0" y="0"/>
                <wp:positionH relativeFrom="margin">
                  <wp:posOffset>-152087</wp:posOffset>
                </wp:positionH>
                <wp:positionV relativeFrom="paragraph">
                  <wp:posOffset>183876</wp:posOffset>
                </wp:positionV>
                <wp:extent cx="6346190" cy="5595582"/>
                <wp:effectExtent l="0" t="0" r="16510" b="24765"/>
                <wp:wrapNone/>
                <wp:docPr id="5" name="Rectángulo redondeado 5"/>
                <wp:cNvGraphicFramePr/>
                <a:graphic xmlns:a="http://schemas.openxmlformats.org/drawingml/2006/main">
                  <a:graphicData uri="http://schemas.microsoft.com/office/word/2010/wordprocessingShape">
                    <wps:wsp>
                      <wps:cNvSpPr/>
                      <wps:spPr>
                        <a:xfrm>
                          <a:off x="0" y="0"/>
                          <a:ext cx="6346190" cy="559558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2E11F" id="Rectángulo redondeado 5" o:spid="_x0000_s1026" style="position:absolute;margin-left:-12pt;margin-top:14.5pt;width:499.7pt;height:440.6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" fillcolor="white [3201]" strokecolor="#70ad47 [3209]" strokeweight="1pt">
                <v:stroke joinstyle="miter"/>
                <w10:wrap anchorx="margin"/>
              </v:roundrect>
            </w:pict>
          </mc:Fallback>
        </mc:AlternateContent>
      </w:r>
    </w:p>
    <w:p w:rsidR="00992F55" w:rsidRDefault="00992F55"/>
    <w:p w:rsidR="00992F55" w:rsidRDefault="00992F55"/>
    <w:p w:rsidR="00992F55" w:rsidRDefault="00992F55"/>
    <w:p w:rsidR="00992F55" w:rsidRDefault="009768C4">
      <w:r>
        <w:rPr>
          <w:noProof/>
        </w:rPr>
        <w:drawing>
          <wp:anchor distT="0" distB="0" distL="114300" distR="114300" simplePos="0" relativeHeight="251671552" behindDoc="1" locked="0" layoutInCell="1" allowOverlap="1" wp14:anchorId="66A87A90" wp14:editId="6872CAA4">
            <wp:simplePos x="0" y="0"/>
            <wp:positionH relativeFrom="margin">
              <wp:posOffset>906780</wp:posOffset>
            </wp:positionH>
            <wp:positionV relativeFrom="paragraph">
              <wp:posOffset>62922</wp:posOffset>
            </wp:positionV>
            <wp:extent cx="4171315" cy="3343275"/>
            <wp:effectExtent l="0" t="0" r="635" b="9525"/>
            <wp:wrapTight wrapText="bothSides">
              <wp:wrapPolygon edited="0">
                <wp:start x="0" y="0"/>
                <wp:lineTo x="0" y="21538"/>
                <wp:lineTo x="21505" y="21538"/>
                <wp:lineTo x="215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31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766D5D" w:rsidRDefault="00766D5D" w:rsidP="00033CBE">
      <w:pPr>
        <w:rPr>
          <w:rFonts w:ascii="Algerian" w:hAnsi="Algerian"/>
          <w:sz w:val="36"/>
          <w:szCs w:val="36"/>
        </w:rPr>
      </w:pPr>
    </w:p>
    <w:p w:rsidR="00E65292" w:rsidRPr="00033CBE" w:rsidRDefault="00E65292" w:rsidP="0008475F">
      <w:pPr>
        <w:spacing w:line="360" w:lineRule="auto"/>
        <w:jc w:val="center"/>
        <w:rPr>
          <w:rFonts w:ascii="Adobe Hebrew" w:hAnsi="Adobe Hebrew" w:cs="Adobe Hebrew"/>
          <w:b/>
          <w:bCs/>
          <w:sz w:val="32"/>
          <w:szCs w:val="32"/>
        </w:rPr>
      </w:pPr>
      <w:r w:rsidRPr="00033CBE">
        <w:rPr>
          <w:rFonts w:ascii="Adobe Hebrew" w:hAnsi="Adobe Hebrew" w:cs="Adobe Hebrew"/>
          <w:b/>
          <w:bCs/>
          <w:sz w:val="32"/>
          <w:szCs w:val="32"/>
        </w:rPr>
        <w:t>PRESENTACION DEL MANUAL</w:t>
      </w:r>
    </w:p>
    <w:p w:rsidR="00531037" w:rsidRDefault="00E65292" w:rsidP="00033CBE">
      <w:pPr>
        <w:pStyle w:val="Estilo"/>
        <w:rPr>
          <w:rFonts w:ascii="Calibri" w:hAnsi="Calibri" w:cs="Calibri"/>
        </w:rPr>
      </w:pPr>
      <w:r>
        <w:rPr>
          <w:rFonts w:ascii="Calibri" w:hAnsi="Calibri" w:cs="Calibri"/>
        </w:rPr>
        <w:t xml:space="preserve">El presente manual tiene como propósito ser un </w:t>
      </w:r>
      <w:r>
        <w:rPr>
          <w:rFonts w:ascii="Calibri" w:hAnsi="Calibri" w:cs="Calibri"/>
          <w:i/>
        </w:rPr>
        <w:t xml:space="preserve">instrumento </w:t>
      </w:r>
      <w:r>
        <w:rPr>
          <w:rFonts w:ascii="Calibri" w:hAnsi="Calibri" w:cs="Calibri"/>
        </w:rPr>
        <w:t xml:space="preserve">que facilite la descripción de los servicios y la información fundamental que se puede obtener del H. Ayuntamiento de Cuautla, Jalisco a través de la Unidad de Transparencia.  Se especifica claramente los </w:t>
      </w:r>
      <w:r w:rsidR="00033CBE">
        <w:rPr>
          <w:rFonts w:ascii="Calibri" w:hAnsi="Calibri" w:cs="Calibri"/>
        </w:rPr>
        <w:t>Artículos</w:t>
      </w:r>
      <w:r>
        <w:rPr>
          <w:rFonts w:ascii="Calibri" w:hAnsi="Calibri" w:cs="Calibri"/>
        </w:rPr>
        <w:t xml:space="preserve"> 8 y 15 de la Ley de Transparencia y Acceso a la </w:t>
      </w:r>
      <w:r w:rsidR="00033CBE">
        <w:rPr>
          <w:rFonts w:ascii="Calibri" w:hAnsi="Calibri" w:cs="Calibri"/>
        </w:rPr>
        <w:t>Información</w:t>
      </w:r>
      <w:r>
        <w:rPr>
          <w:rFonts w:ascii="Calibri" w:hAnsi="Calibri" w:cs="Calibri"/>
        </w:rPr>
        <w:t xml:space="preserve"> Publica del Estado de Jalisco y sus Municipio y los requisitos necesarios para solicitar la </w:t>
      </w:r>
      <w:r w:rsidR="00033CBE">
        <w:rPr>
          <w:rFonts w:ascii="Calibri" w:hAnsi="Calibri" w:cs="Calibri"/>
        </w:rPr>
        <w:t>información</w:t>
      </w:r>
      <w:r>
        <w:rPr>
          <w:rFonts w:ascii="Calibri" w:hAnsi="Calibri" w:cs="Calibri"/>
        </w:rPr>
        <w:t>. La finalidad del manual es también crear una manera eficaz de atender las solicitudes de la ciudadanía y que esta tenga un previo conocimiento de los requisitos obligatorios para llevar a cabo dicha solicitud.</w:t>
      </w:r>
    </w:p>
    <w:p w:rsidR="00531037" w:rsidRDefault="00531037" w:rsidP="00531037">
      <w:pPr>
        <w:pStyle w:val="Estilo"/>
        <w:jc w:val="center"/>
        <w:rPr>
          <w:rFonts w:ascii="Calibri" w:hAnsi="Calibri" w:cs="Calibri"/>
        </w:rPr>
      </w:pPr>
    </w:p>
    <w:p w:rsidR="00531037" w:rsidRPr="00033CBE" w:rsidRDefault="00531037" w:rsidP="00531037">
      <w:pPr>
        <w:spacing w:line="360" w:lineRule="auto"/>
        <w:jc w:val="center"/>
        <w:rPr>
          <w:rFonts w:ascii="Adobe Hebrew" w:hAnsi="Adobe Hebrew" w:cs="Adobe Hebrew"/>
          <w:b/>
          <w:bCs/>
          <w:sz w:val="36"/>
          <w:szCs w:val="36"/>
        </w:rPr>
      </w:pPr>
      <w:r w:rsidRPr="00033CBE">
        <w:rPr>
          <w:rFonts w:ascii="Adobe Hebrew" w:hAnsi="Adobe Hebrew" w:cs="Adobe Hebrew"/>
          <w:b/>
          <w:bCs/>
          <w:sz w:val="32"/>
          <w:szCs w:val="32"/>
        </w:rPr>
        <w:t>INFORMACION FUNDAMENTAL</w:t>
      </w:r>
    </w:p>
    <w:p w:rsidR="00531037" w:rsidRPr="00033CBE" w:rsidRDefault="00033CBE" w:rsidP="00531037">
      <w:pPr>
        <w:spacing w:line="360" w:lineRule="auto"/>
        <w:jc w:val="center"/>
        <w:rPr>
          <w:rFonts w:ascii="Adobe Hebrew" w:hAnsi="Adobe Hebrew" w:cs="Adobe Hebrew"/>
          <w:b/>
          <w:bCs/>
          <w:sz w:val="36"/>
          <w:szCs w:val="36"/>
        </w:rPr>
      </w:pPr>
      <w:r w:rsidRPr="00033CBE">
        <w:rPr>
          <w:rFonts w:ascii="Adobe Hebrew" w:hAnsi="Adobe Hebrew" w:cs="Adobe Hebrew"/>
          <w:b/>
          <w:bCs/>
          <w:sz w:val="32"/>
          <w:szCs w:val="32"/>
        </w:rPr>
        <w:t>ARTICULO 8</w:t>
      </w:r>
    </w:p>
    <w:p w:rsidR="00531037" w:rsidRDefault="00531037" w:rsidP="00531037">
      <w:pPr>
        <w:pStyle w:val="Estilo"/>
        <w:jc w:val="center"/>
        <w:rPr>
          <w:rFonts w:ascii="Calibri" w:hAnsi="Calibri" w:cs="Calibri"/>
        </w:rPr>
      </w:pPr>
    </w:p>
    <w:p w:rsidR="00531037" w:rsidRPr="00CF31F6" w:rsidRDefault="00531037" w:rsidP="00531037">
      <w:pPr>
        <w:pStyle w:val="Estilo"/>
        <w:jc w:val="center"/>
        <w:rPr>
          <w:b/>
          <w:bCs/>
          <w:sz w:val="20"/>
          <w:szCs w:val="20"/>
        </w:rPr>
      </w:pPr>
      <w:r w:rsidRPr="00531037">
        <w:rPr>
          <w:b/>
          <w:bCs/>
          <w:sz w:val="20"/>
          <w:szCs w:val="20"/>
        </w:rPr>
        <w:t xml:space="preserve"> </w:t>
      </w:r>
      <w:r w:rsidRPr="00CF31F6">
        <w:rPr>
          <w:b/>
          <w:bCs/>
          <w:sz w:val="20"/>
          <w:szCs w:val="20"/>
        </w:rPr>
        <w:t>Título Segundo</w:t>
      </w:r>
    </w:p>
    <w:p w:rsidR="00531037" w:rsidRPr="00CF31F6" w:rsidRDefault="00531037" w:rsidP="00531037">
      <w:pPr>
        <w:pStyle w:val="Estilo"/>
        <w:jc w:val="center"/>
        <w:rPr>
          <w:b/>
          <w:bCs/>
          <w:sz w:val="20"/>
          <w:szCs w:val="20"/>
        </w:rPr>
      </w:pPr>
      <w:r w:rsidRPr="00CF31F6">
        <w:rPr>
          <w:b/>
          <w:bCs/>
          <w:sz w:val="20"/>
          <w:szCs w:val="20"/>
        </w:rPr>
        <w:t>De la Información Pública</w:t>
      </w:r>
    </w:p>
    <w:p w:rsidR="00531037" w:rsidRPr="00CF31F6" w:rsidRDefault="00531037" w:rsidP="00531037">
      <w:pPr>
        <w:pStyle w:val="Estilo"/>
        <w:jc w:val="center"/>
        <w:rPr>
          <w:b/>
          <w:bCs/>
          <w:sz w:val="20"/>
          <w:szCs w:val="20"/>
        </w:rPr>
      </w:pPr>
    </w:p>
    <w:p w:rsidR="00531037" w:rsidRPr="00CF31F6" w:rsidRDefault="00531037" w:rsidP="00531037">
      <w:pPr>
        <w:pStyle w:val="Estilo"/>
        <w:jc w:val="center"/>
        <w:rPr>
          <w:b/>
          <w:bCs/>
          <w:sz w:val="20"/>
          <w:szCs w:val="20"/>
        </w:rPr>
      </w:pPr>
      <w:r w:rsidRPr="00CF31F6">
        <w:rPr>
          <w:b/>
          <w:bCs/>
          <w:sz w:val="20"/>
          <w:szCs w:val="20"/>
        </w:rPr>
        <w:t>Capítulo I</w:t>
      </w:r>
    </w:p>
    <w:p w:rsidR="00531037" w:rsidRPr="00CF31F6" w:rsidRDefault="00531037" w:rsidP="00531037">
      <w:pPr>
        <w:pStyle w:val="Estilo"/>
        <w:jc w:val="center"/>
        <w:rPr>
          <w:b/>
          <w:bCs/>
          <w:sz w:val="20"/>
          <w:szCs w:val="20"/>
        </w:rPr>
      </w:pPr>
      <w:r w:rsidRPr="00CF31F6">
        <w:rPr>
          <w:b/>
          <w:bCs/>
          <w:sz w:val="20"/>
          <w:szCs w:val="20"/>
        </w:rPr>
        <w:t>De la Información Fundamental</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b/>
          <w:bCs/>
          <w:sz w:val="20"/>
          <w:szCs w:val="20"/>
        </w:rPr>
        <w:t>Artículo 8°.</w:t>
      </w:r>
      <w:r w:rsidRPr="00CF31F6">
        <w:rPr>
          <w:sz w:val="20"/>
          <w:szCs w:val="20"/>
        </w:rPr>
        <w:t xml:space="preserve"> Información Fundamental - General</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 Es información fundamental, obligatoria para todos los sujetos obligados, la siguiente: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 La necesaria para el ejercicio del derecho a la información pública, que comprende: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a) La Ley General, la presente Ley y su Reglamento;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b) El reglamento interno para el manejo de la información pública del sujeto obligado;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c) Los lineamientos estatales de clasificación de información pública, emitidos por el Instituto;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d) Los lineamientos estatales de publicación y actualización de información fundamental, emitidos por el Instituto;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e) Los lineamientos estatales de protección de información confidencial y reservada, emitidos por el Instituto;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f) Los lineamientos generales que emita el Sistema Nacional;</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g) Las actas y resoluciones del Comité de Transparencia;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h) Dirección electrónica donde podrán recibirse las solicitudes de acceso a la información;</w:t>
      </w:r>
    </w:p>
    <w:p w:rsidR="00531037" w:rsidRPr="00CF31F6" w:rsidRDefault="00531037" w:rsidP="00531037">
      <w:pPr>
        <w:pStyle w:val="Estilo"/>
        <w:rPr>
          <w:sz w:val="20"/>
          <w:szCs w:val="20"/>
        </w:rPr>
      </w:pPr>
    </w:p>
    <w:p w:rsidR="00531037" w:rsidRDefault="00531037"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531037" w:rsidRPr="00CF31F6" w:rsidRDefault="00531037" w:rsidP="00531037">
      <w:pPr>
        <w:pStyle w:val="Estilo"/>
        <w:rPr>
          <w:sz w:val="20"/>
          <w:szCs w:val="20"/>
        </w:rPr>
      </w:pPr>
      <w:r w:rsidRPr="00CF31F6">
        <w:rPr>
          <w:sz w:val="20"/>
          <w:szCs w:val="20"/>
        </w:rPr>
        <w:t>i) La denominación, domicilio, teléfonos, faxes, dirección electrónica y correo electrónico oficiales del sujeto obligado;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k) El nombre del encargado y de los integrantes, teléfono, fax y correo electrónico del Comité de Transparencia;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l) El nombre del encargado, teléfono, fax y correo electrónico de la Unidad;</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m) El manual y formato de solicitud de información pública;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n) Índice de los expedientes clasificados como reservados, por área responsable de la información y tema;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ñ) La estadística de las solicitudes de información pública atendidas, precisando las procedentes, parcialmente procedentes e improcedentes; así como la estadística de visitas a su sistema de consulta electrónica;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II. La información sobre el marco jurídico aplicable al y por el sujeto obligado, que comprende: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a) Las disposiciones de las Constituciones Políticas Federal y Estatal;</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b) Los tratados y convenciones internacionales suscritas por México;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c) Las leyes federales y estatales;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d) Los reglamentos federales, estatales y municipales,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e) Los decretos, acuerdos, criterios, políticas, reglas de operación y demás normas jurídicas generales;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III. La información sobre la planeación del desarrollo, aplicable al y por el sujeto obligado, que comprende: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a) Los apartados del Plan Nacional de Desarrollo que sirve de marco general a la planeación de las áreas relativas a las funciones del sujeto obligado;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b) Los apartados de los programas federales;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c) Los apartados del Plan Estatal de Desarrollo;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d) Los programas estatales;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e) Los programas regionales;</w:t>
      </w:r>
    </w:p>
    <w:p w:rsidR="00531037" w:rsidRPr="00CF31F6" w:rsidRDefault="00531037"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531037" w:rsidRPr="00CF31F6" w:rsidRDefault="00531037" w:rsidP="00531037">
      <w:pPr>
        <w:pStyle w:val="Estilo"/>
        <w:rPr>
          <w:sz w:val="20"/>
          <w:szCs w:val="20"/>
        </w:rPr>
      </w:pPr>
      <w:r w:rsidRPr="00CF31F6">
        <w:rPr>
          <w:sz w:val="20"/>
          <w:szCs w:val="20"/>
        </w:rPr>
        <w:t>f) Las evaluaciones y encuestas que hagan los sujetos obligados a programas financiados con recursos públicos;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g) Los demás instrumentos de planeación no comprendidos en los incisos anteriores;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IV. La información sobre la planeación estratégica gubernamental aplicable al y por el sujeto obligado, que comprende: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a) El Plan General Institucional del poder, organismo o municipio correspondiente, con las modificaciones de cuando menos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b) Los programas operativos anuales, de cuando menos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c) Los manuales de organización;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d) Los manuales de operación;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e) Los manuales de procedimientos;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f) Los manuales de servicios;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g) Los protocolos;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h) Los indicadores que permitan rendir cuenta de sus objetivos y resultados;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 Los demás instrumentos normativos internos aplicables;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V. La información financiera, patrimonial y administrativa, que comprende: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a) Las partidas del Presupuesto de Egresos de la Federación y del Presupuesto de Egresos del Estado, así como los conceptos del clasificador por objeto del gasto, aplicables al y por el sujeto obligado, de cuando menos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c) El presupuesto de egresos anual y, en su caso, el clasificador por objeto del gasto del sujeto obligado, de cuando menos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d) Las convocatorias a concursos para ocupar cargos públicos y los resultados de los mismos;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f) Las remuneraciones mensuales por puesto, incluidas todas las prestaciones, estímulos o compensaciones;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g) Las nóminas completas del sujeto obligado en las que se incluya las gratificaciones, primas, comisiones, dietas y estímulos, de cuando menos los últimos tres años, y en su caso, con sistema de búsqueda;</w:t>
      </w:r>
    </w:p>
    <w:p w:rsidR="00531037" w:rsidRPr="00CF31F6" w:rsidRDefault="00531037"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531037" w:rsidRPr="00CF31F6" w:rsidRDefault="00531037" w:rsidP="00531037">
      <w:pPr>
        <w:pStyle w:val="Estilo"/>
        <w:rPr>
          <w:sz w:val="20"/>
          <w:szCs w:val="20"/>
        </w:rPr>
      </w:pPr>
      <w:r w:rsidRPr="00CF31F6">
        <w:rPr>
          <w:sz w:val="20"/>
          <w:szCs w:val="20"/>
        </w:rPr>
        <w:t>h) El listado de jubilados y pensionados y el monto que reciben;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 Los estados financieros mensuales, de cuando menos los últimos tres años;</w:t>
      </w:r>
    </w:p>
    <w:p w:rsidR="00531037"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l) Los subsidios, en especie o en numerario, recibidos por el sujeto obligado, así como los otorgados por el sujeto obligado, en los que se señale lo siguiente: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 Área;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2. Denominación del programa;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3. Periodo de vigencia;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4. Diseño, objetivos y alcances;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5. Metas físicas;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6. Población beneficiada estimada;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7. Monto aprobado, modificado y ejercido, así como los calendarios de su programación presupuestal;</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8. Requisitos y procedimientos de acceso;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9. Procedimiento de queja o inconformidad ciudadana;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10. Mecanismos de exigibilidad;</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11. Mecanismos de evaluación, informes de evaluación y seguimiento de recomendaciones;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12. Indicadores con nombre, definición, método de cálculo, unidad de medida, dimensión, frecuencia de medición, nombre de las bases de datos utilizadas para su cálculo;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13. Formas de participación social;</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14. Articulación con otros programas sociales;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15. Vínculo a las reglas de operación o documento equivalente;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16. Informes periódicos sobre la ejecución y los resultados de las evaluaciones realizadas;</w:t>
      </w:r>
    </w:p>
    <w:p w:rsidR="00531037" w:rsidRPr="00CF31F6" w:rsidRDefault="00531037"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531037" w:rsidRPr="00CF31F6" w:rsidRDefault="00531037" w:rsidP="00531037">
      <w:pPr>
        <w:pStyle w:val="Estilo"/>
        <w:rPr>
          <w:sz w:val="20"/>
          <w:szCs w:val="20"/>
        </w:rPr>
      </w:pPr>
      <w:r w:rsidRPr="00CF31F6">
        <w:rPr>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531037"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n) Las cuentas públicas, las auditorías internas y externas, así como los demás informes de gestión financiera del sujeto obligado, de cuando menos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ñ) Los padrones de proveedores o contratistas, de cuando menos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o) La información sobre adjudicaciones directas en materia de adquisiciones, obra pública, proyectos de inversión y prestación de servicios, de cuando menos los últimos tres años, que deberá contener, por lo menos, lo siguiente: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 La propuesta enviada por el participante;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2 Los motivos y fundamentos legales aplicados para llevarla a cabo;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3. La autorización del ejercicio de la opción;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4. En su caso, las cotizaciones consideradas, especificando los nombres de los proveedores y los montos;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5. El nombre de la persona física o jurídica adjudicada;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6. La unidad administrativa solicitante y la responsable de su ejecución;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7. El número, fecha, el monto del contrato y el plazo de entrega o de ejecución de los servicios u obra;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8. Los mecanismos de vigilancia y supervisión, incluyendo, en su caso, los estudios de impacto urbano y ambiental, según corresponda;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9. Los informes de avance sobre las obras o servicios contratados;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10. El convenio de terminación;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11. El finiquito;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531037" w:rsidRPr="00CF31F6" w:rsidRDefault="00531037"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60E12" w:rsidRDefault="00060E12" w:rsidP="00531037">
      <w:pPr>
        <w:pStyle w:val="Estilo"/>
        <w:rPr>
          <w:sz w:val="20"/>
          <w:szCs w:val="20"/>
        </w:rPr>
      </w:pPr>
    </w:p>
    <w:p w:rsidR="00531037" w:rsidRPr="00CF31F6" w:rsidRDefault="00531037" w:rsidP="00531037">
      <w:pPr>
        <w:pStyle w:val="Estilo"/>
        <w:rPr>
          <w:sz w:val="20"/>
          <w:szCs w:val="20"/>
        </w:rPr>
      </w:pPr>
      <w:r w:rsidRPr="00CF31F6">
        <w:rPr>
          <w:sz w:val="20"/>
          <w:szCs w:val="20"/>
        </w:rPr>
        <w:t>1. La convocatoria o invitación emitida, así como los fundamentos legales aplicados para llevarla a cabo;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2. Los nombres de los participantes o invitados;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3. El nombre del ganador y las razones que lo justifican;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4. El área solicitante y la responsable de su ejecución;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5. Las convocatorias e invitaciones emitidas;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6. Los dictámenes y fallo de adjudicación;</w:t>
      </w:r>
    </w:p>
    <w:p w:rsidR="00531037"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7. El contrato y, en su caso, sus anexos;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8. Los mecanismos de vigilancia y supervisión, incluyendo, en su caso, los estudios de impacto urbano y ambiental, según corresponda;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9. La partida presupuestal, de conformidad con el clasificador por objeto del gasto, en el caso de ser aplicable;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10. Origen de los recursos especificando si son federales, estatales o municipales, así como el tipo de fondo de participación o aportación respectiva;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11. Los convenios modificatorios que, en su caso, sean firmados, precisando el objeto y la fecha de celebración;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12. Los informes de avance físico y financiero sobre las obras o servicios contratados;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13. El convenio de terminación;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14. El finiquito;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r) Los inventarios de bienes muebles e inmuebles del sujeto obligado, de cuando menos los últimos tres años, donde se señale cuando menos la descripción, el valor, el régimen jurídico, y el uso o afectación del bien;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s) Los gastos de representación, viáticos y viajes oficiales, su costo, itinerario, agenda y resultados;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t) Las concesiones, licencias, permisos o autorizaciones otorgadas de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u) Los decretos y expedientes relativos a las expropiaciones que realicen por utilidad pública;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531037" w:rsidRPr="00CF31F6" w:rsidRDefault="00531037"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4D15B7" w:rsidRDefault="004D15B7" w:rsidP="00531037">
      <w:pPr>
        <w:pStyle w:val="Estilo"/>
        <w:rPr>
          <w:sz w:val="20"/>
          <w:szCs w:val="20"/>
        </w:rPr>
      </w:pPr>
    </w:p>
    <w:p w:rsidR="004D15B7" w:rsidRDefault="004D15B7" w:rsidP="00531037">
      <w:pPr>
        <w:pStyle w:val="Estilo"/>
        <w:rPr>
          <w:sz w:val="20"/>
          <w:szCs w:val="20"/>
        </w:rPr>
      </w:pPr>
    </w:p>
    <w:p w:rsidR="00531037" w:rsidRPr="00CF31F6" w:rsidRDefault="00531037" w:rsidP="00531037">
      <w:pPr>
        <w:pStyle w:val="Estilo"/>
        <w:rPr>
          <w:sz w:val="20"/>
          <w:szCs w:val="20"/>
        </w:rPr>
      </w:pPr>
      <w:r w:rsidRPr="00CF31F6">
        <w:rPr>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 Los estados de cuenta bancarios que expiden las instituciones financieras, número de cuentas bancarias, estados financieros, cuentas de fideicomisos e inversiones, de cuando menos los últimos seis meses;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y) La información en versión pública de las declaraciones patrimoniales de los servidores públicos que así lo determinen, en los sistemas habilitados para ello, de acuerdo a la normatividad aplicable; y</w:t>
      </w:r>
    </w:p>
    <w:p w:rsidR="00531037"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VI. La información sobre la gestión pública, que comprende: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e) Las políticas públicas que elabora y aplica el sujeto obligado, de cuando menos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f) Los convenios, contratos y demás instrumentos jurídicos suscritos por el sujeto obligado, de cuando menos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531037" w:rsidRPr="00CF31F6" w:rsidRDefault="00531037"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2F5F58" w:rsidRDefault="002F5F58" w:rsidP="00531037">
      <w:pPr>
        <w:pStyle w:val="Estilo"/>
        <w:rPr>
          <w:sz w:val="20"/>
          <w:szCs w:val="20"/>
        </w:rPr>
      </w:pPr>
    </w:p>
    <w:p w:rsidR="002F5F58" w:rsidRDefault="002F5F58" w:rsidP="00531037">
      <w:pPr>
        <w:pStyle w:val="Estilo"/>
        <w:rPr>
          <w:sz w:val="20"/>
          <w:szCs w:val="20"/>
        </w:rPr>
      </w:pPr>
    </w:p>
    <w:p w:rsidR="002F5F58" w:rsidRDefault="002F5F58" w:rsidP="00531037">
      <w:pPr>
        <w:pStyle w:val="Estilo"/>
        <w:rPr>
          <w:sz w:val="20"/>
          <w:szCs w:val="20"/>
        </w:rPr>
      </w:pPr>
    </w:p>
    <w:p w:rsidR="00531037" w:rsidRPr="00CF31F6" w:rsidRDefault="00531037" w:rsidP="00531037">
      <w:pPr>
        <w:pStyle w:val="Estilo"/>
        <w:rPr>
          <w:sz w:val="20"/>
          <w:szCs w:val="20"/>
        </w:rPr>
      </w:pPr>
      <w:r w:rsidRPr="00CF31F6">
        <w:rPr>
          <w:sz w:val="20"/>
          <w:szCs w:val="20"/>
        </w:rPr>
        <w:t>h) La agenda diaria de actividades del sujeto obligado, de cuando menos el último mes;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 El luga</w:t>
      </w:r>
      <w:r>
        <w:rPr>
          <w:sz w:val="20"/>
          <w:szCs w:val="20"/>
        </w:rPr>
        <w:t>r, día y hora de las todas</w:t>
      </w:r>
      <w:r w:rsidRPr="00CF31F6">
        <w:rPr>
          <w:sz w:val="20"/>
          <w:szCs w:val="20"/>
        </w:rPr>
        <w:t xml:space="preserve">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j) Las versiones estenográficas, así como las actas o minutas de las reuniones o sesiones de sus órganos colegiados;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l) Los informes trimestrales y anuales de actividades del sujeto obligado, de cuando menos los últimos tres años;</w:t>
      </w:r>
    </w:p>
    <w:p w:rsidR="00531037"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m) Las recomendaciones emitidas por los órganos públicos del Estado mexicano u organismos internacionales garantes de los derechos humanos, así como las acciones que han llevado a cabo para su atención;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n) Las estadísticas que generen en cumplimiento de sus facultades, competencias o funciones con la mayor desagregación posible;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VII. Las versiones públicas de las resoluciones y laudos que emitan los sujetos obligados, en procesos o procedimientos seguidos en forma de juicio y que hayan causado estado;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VIII. Los mecanismos e instrumentos de participación ciudadana que puedan acceder o ejercer ante el sujeto obligado;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IX. La información pública ordinaria, proactiva o focalizada que considere el sujeto obligado, por sí o a propuesta del Instituto;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XI. Los estudios financiados con recursos públicos;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XII. Los ingresos recibidos por cualquier concepto señalando el nombre de los responsables de recibirlos, administrarlos y ejercerlos, así como su destino, indicando el destino de cada uno de ellos;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XIII. El catálogo de disposición y guía de archivo documental;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XIV. La demás información pública a que obliguen las disposiciones federales y la Ley General de Contabilidad Gubernamental, así como aquella que se genere por la ejecución del gasto público con recursos federales.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2. La publicación de información fundamental debe realizarse con independencia de su publicación oficial y debe reunir los requisitos de claridad, calidad, certeza, veracidad, oportunidad y confiabilidad.</w:t>
      </w:r>
    </w:p>
    <w:p w:rsidR="00E65292" w:rsidRDefault="00E65292" w:rsidP="0008475F">
      <w:pPr>
        <w:spacing w:line="360" w:lineRule="auto"/>
        <w:ind w:firstLine="720"/>
        <w:jc w:val="both"/>
        <w:rPr>
          <w:rFonts w:ascii="Calibri" w:hAnsi="Calibri" w:cs="Calibri"/>
          <w:sz w:val="24"/>
          <w:szCs w:val="24"/>
        </w:rPr>
      </w:pPr>
    </w:p>
    <w:p w:rsidR="00033CBE" w:rsidRDefault="00033CBE" w:rsidP="00531037">
      <w:pPr>
        <w:spacing w:line="360" w:lineRule="auto"/>
        <w:jc w:val="center"/>
        <w:rPr>
          <w:rFonts w:ascii="Algerian" w:hAnsi="Algerian"/>
          <w:sz w:val="36"/>
          <w:szCs w:val="36"/>
        </w:rPr>
      </w:pPr>
    </w:p>
    <w:p w:rsidR="00531037" w:rsidRPr="00033CBE" w:rsidRDefault="00033CBE" w:rsidP="00531037">
      <w:pPr>
        <w:spacing w:line="360" w:lineRule="auto"/>
        <w:jc w:val="center"/>
        <w:rPr>
          <w:rFonts w:ascii="Adobe Hebrew" w:hAnsi="Adobe Hebrew" w:cs="Adobe Hebrew"/>
          <w:b/>
          <w:bCs/>
          <w:sz w:val="36"/>
          <w:szCs w:val="36"/>
        </w:rPr>
      </w:pPr>
      <w:r w:rsidRPr="00033CBE">
        <w:rPr>
          <w:rFonts w:ascii="Adobe Hebrew" w:hAnsi="Adobe Hebrew" w:cs="Adobe Hebrew"/>
          <w:b/>
          <w:bCs/>
          <w:sz w:val="32"/>
          <w:szCs w:val="32"/>
        </w:rPr>
        <w:t>ARTICULO 15</w:t>
      </w:r>
    </w:p>
    <w:p w:rsidR="00531037" w:rsidRPr="00CF31F6" w:rsidRDefault="00531037" w:rsidP="00531037">
      <w:pPr>
        <w:pStyle w:val="Estilo"/>
        <w:rPr>
          <w:sz w:val="20"/>
          <w:szCs w:val="20"/>
        </w:rPr>
      </w:pPr>
      <w:r w:rsidRPr="00CF31F6">
        <w:rPr>
          <w:b/>
          <w:bCs/>
          <w:sz w:val="20"/>
          <w:szCs w:val="20"/>
        </w:rPr>
        <w:t>Artículo 15.</w:t>
      </w:r>
      <w:r w:rsidRPr="00CF31F6">
        <w:rPr>
          <w:sz w:val="20"/>
          <w:szCs w:val="20"/>
        </w:rPr>
        <w:t xml:space="preserve"> Información fundamental - Ayuntamientos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 Es información pública fundamental de los ayuntamientos: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 La obligatoria para todos los sujetos obligados;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II. La integración del ayuntamiento, las comisiones edilicias y demás órganos que establezca su organigrama;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III. Los bandos de policía y gobierno, reglamentos, decretos, acuerdos, circulares y demás disposiciones jurídicas expedidas por el ayuntamiento respectivo;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IV. Las iniciativas presentadas y las exposiciones de motivos de los reglamentos vigentes en el municipio;</w:t>
      </w:r>
    </w:p>
    <w:p w:rsidR="00531037"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V. Los instrumentos de planeación del desarrollo del municipio y sus modificaciones, de cuando menos los últimos tres años;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VI. Los reglamentos internos, manuales y programas operativos anuales de toda dependencia o entidad pública municipal vigentes y de cuando menos los tres años anteriores;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VII. Los programas de trabajo de las comisiones edilicias;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VIII. El orden del día de las sesiones del ayuntamiento, de las comisiones edilicias y de los Consejos Ciudadanos Municipales, con excepción de las reservadas;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IX. El libro de actas de las sesiones del ayuntamiento, las actas de las comisiones edilicias, así como las actas de los Consejos Ciudadanos Municipales, con excepción de las reservadas;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 La gaceta municipal y demás órganos de difusión y publicación oficial municipal;</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XI. La información de los registros públicos que opere, sin afectar la información confidencial contenida;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XII. Los recursos materiales, humanos y financieros asignados a cada dependencia y entidad de la administración pública municipal, detallando los correspondientes a cada unidad administrativa al interior de las mismas;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XIII. Los convenios y contratos celebrados para la realización de obra pública;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XIV. Los convenios de coordinación o asociación municipal;</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XV. Los convenios para la prestación de servicios públicos coordinados o concesionados;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XVI. El registro de los consejos consultivos ciudadanos, con indicación de la fecha de su creación, funciones que realizan, así como nombre y cargo de los integrantes;</w:t>
      </w:r>
    </w:p>
    <w:p w:rsidR="00531037" w:rsidRPr="00CF31F6" w:rsidRDefault="00531037"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F55EBF" w:rsidRDefault="00F55EBF" w:rsidP="00531037">
      <w:pPr>
        <w:pStyle w:val="Estilo"/>
        <w:rPr>
          <w:sz w:val="20"/>
          <w:szCs w:val="20"/>
        </w:rPr>
      </w:pPr>
    </w:p>
    <w:p w:rsidR="00531037" w:rsidRPr="00CF31F6" w:rsidRDefault="00531037" w:rsidP="00531037">
      <w:pPr>
        <w:pStyle w:val="Estilo"/>
        <w:rPr>
          <w:sz w:val="20"/>
          <w:szCs w:val="20"/>
        </w:rPr>
      </w:pPr>
      <w:r w:rsidRPr="00CF31F6">
        <w:rPr>
          <w:sz w:val="20"/>
          <w:szCs w:val="20"/>
        </w:rPr>
        <w:t>XVII.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XVIII. El registro público de bienes del patrimonio municipal;</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XIX. La relación del personal y los inventarios de bienes afectos a cada uno de los servicios públicos municipales, con excepción del servicio de seguridad pública y policía preventiva;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XX. El Programa Municipal de Desarrollo Urbano, los planes de desarrollo urbano de centros de población, y los planes parciales de desarrollo urbano;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XXI. La integración, las actas de las reuniones y los acuerdos del Consejo Municipal de Desarrollo Urbano;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XXII. Las autorizaciones de nuevos fraccionamientos y los cambios de uso de suelo junto con las consultas públicas realizadas con los colonos y la integración del expediente respectivo, en los términos del Código Urbano para el Estado de Jalisco;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XXIII. Los indicadores de evaluación del desempeño;</w:t>
      </w:r>
    </w:p>
    <w:p w:rsidR="00531037"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XXV. Los ingresos municipales por concepto de participaciones federales y estatales, así como por ingresos propios, que integre a la hacienda pública, 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XXVI. La que establezca el Reglamento Interno de Información Pública del Municipio correspondiente.</w:t>
      </w:r>
    </w:p>
    <w:p w:rsidR="00531037" w:rsidRDefault="00531037" w:rsidP="0008475F">
      <w:pPr>
        <w:spacing w:line="360" w:lineRule="auto"/>
        <w:ind w:firstLine="720"/>
        <w:jc w:val="both"/>
        <w:rPr>
          <w:rFonts w:ascii="Calibri" w:hAnsi="Calibri" w:cs="Calibri"/>
          <w:sz w:val="24"/>
          <w:szCs w:val="24"/>
        </w:rPr>
      </w:pPr>
    </w:p>
    <w:p w:rsidR="00531037" w:rsidRPr="00033CBE" w:rsidRDefault="00033CBE" w:rsidP="00531037">
      <w:pPr>
        <w:pStyle w:val="Estilo"/>
        <w:jc w:val="center"/>
        <w:rPr>
          <w:rFonts w:ascii="Adobe Hebrew" w:hAnsi="Adobe Hebrew" w:cs="Adobe Hebrew"/>
          <w:b/>
          <w:sz w:val="32"/>
          <w:szCs w:val="32"/>
        </w:rPr>
      </w:pPr>
      <w:r w:rsidRPr="00033CBE">
        <w:rPr>
          <w:rFonts w:ascii="Adobe Hebrew" w:hAnsi="Adobe Hebrew" w:cs="Adobe Hebrew"/>
          <w:b/>
          <w:sz w:val="32"/>
          <w:szCs w:val="32"/>
        </w:rPr>
        <w:t>SOLICITUD DE ACCESO A LA INFORMACIÓN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1C38C9">
        <w:rPr>
          <w:b/>
          <w:bCs/>
          <w:sz w:val="20"/>
          <w:szCs w:val="20"/>
        </w:rPr>
        <w:t>Artículo 78.</w:t>
      </w:r>
      <w:r w:rsidRPr="00CF31F6">
        <w:rPr>
          <w:sz w:val="20"/>
          <w:szCs w:val="20"/>
        </w:rPr>
        <w:t xml:space="preserve"> Solicitud de Acceso a la Información - Derecho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 Toda persona por sí o por medio de representante legal, tiene derecho a presentar solicitud de acceso a la información, sin necesidad de sustentar justificación o motivación alguna.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2. Los sujetos obligados deberán brindar a las personas con discapacidad o que hablen lenguas indígenas, las facilidades necesarias para llevar a cabo el procedimiento para consultar o solicitar información pública.</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1C38C9">
        <w:rPr>
          <w:b/>
          <w:bCs/>
          <w:sz w:val="20"/>
          <w:szCs w:val="20"/>
        </w:rPr>
        <w:t>Artículo 79.</w:t>
      </w:r>
      <w:r w:rsidRPr="00CF31F6">
        <w:rPr>
          <w:sz w:val="20"/>
          <w:szCs w:val="20"/>
        </w:rPr>
        <w:t xml:space="preserve"> Solicitud de Acceso a la Información - Requisitos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 La solicitud de acceso a la información pública debe hacerse en términos respetuosos y contener cuando menos:</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 Nombre del sujeto obligado a quien se dirige;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II. Nombre del solicitante o seudónimo y autorizados para recibir la información, en su caso;</w:t>
      </w:r>
    </w:p>
    <w:p w:rsidR="00531037" w:rsidRPr="00CF31F6" w:rsidRDefault="00531037"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033CBE" w:rsidRDefault="00033CBE" w:rsidP="00531037">
      <w:pPr>
        <w:pStyle w:val="Estilo"/>
        <w:rPr>
          <w:sz w:val="20"/>
          <w:szCs w:val="20"/>
        </w:rPr>
      </w:pPr>
    </w:p>
    <w:p w:rsidR="00531037" w:rsidRPr="00CF31F6" w:rsidRDefault="00531037" w:rsidP="00531037">
      <w:pPr>
        <w:pStyle w:val="Estilo"/>
        <w:rPr>
          <w:sz w:val="20"/>
          <w:szCs w:val="20"/>
        </w:rPr>
      </w:pPr>
      <w:r w:rsidRPr="00CF31F6">
        <w:rPr>
          <w:sz w:val="20"/>
          <w:szCs w:val="20"/>
        </w:rPr>
        <w:t>III. Domicilio, número de fax, correo electrónico o los estrados de la Unidad, para recibir notificaciones, 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IV. Información solicitada, incluida la forma y medio de acceso de la misma, la cual estará sujeta a la posibilidad y disponibilidad que resuelva el sujeto obligado.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2. La información de la fracción II del presente artículo será proporcionada por el solicitante de manera opcional y, en ningún caso, podrá ser un requisito indispensable para la procedencia de la solicitud.</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1C38C9">
        <w:rPr>
          <w:b/>
          <w:bCs/>
          <w:sz w:val="20"/>
          <w:szCs w:val="20"/>
        </w:rPr>
        <w:t>Artículo 80.</w:t>
      </w:r>
      <w:r w:rsidRPr="00CF31F6">
        <w:rPr>
          <w:sz w:val="20"/>
          <w:szCs w:val="20"/>
        </w:rPr>
        <w:t xml:space="preserve"> Solicitud de Acceso a la Información - Forma de presentación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 La solicitud de acceso a la información pública debe presentarse:</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 Vía telefónica, fax, correo, correo electrónico, telegrama, mensajería o por escrito;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II. Por comparecencia personal ante la Unidad, donde debe llenar la solicitud que al efecto proveerá dicha Unidad, 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531037" w:rsidRDefault="00531037" w:rsidP="00531037">
      <w:pPr>
        <w:pStyle w:val="Estilo"/>
        <w:rPr>
          <w:b/>
          <w:bCs/>
          <w:sz w:val="20"/>
          <w:szCs w:val="20"/>
        </w:rPr>
      </w:pPr>
      <w:bookmarkStart w:id="0" w:name="_GoBack"/>
      <w:bookmarkEnd w:id="0"/>
    </w:p>
    <w:p w:rsidR="00531037" w:rsidRPr="00CF31F6" w:rsidRDefault="00531037" w:rsidP="00531037">
      <w:pPr>
        <w:pStyle w:val="Estilo"/>
        <w:rPr>
          <w:sz w:val="20"/>
          <w:szCs w:val="20"/>
        </w:rPr>
      </w:pPr>
      <w:r w:rsidRPr="001C38C9">
        <w:rPr>
          <w:b/>
          <w:bCs/>
          <w:sz w:val="20"/>
          <w:szCs w:val="20"/>
        </w:rPr>
        <w:t>Artículo 81</w:t>
      </w:r>
      <w:r w:rsidRPr="00CF31F6">
        <w:rPr>
          <w:sz w:val="20"/>
          <w:szCs w:val="20"/>
        </w:rPr>
        <w:t>. Solicitud de Acceso a la Información - Lugar de presentación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1. La solicitud de acceso a la información pública debe presentarse ante la Unidad del sujeto obligado.</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2. Cuando se presente una solicitud de información pública ante una oficina distinta a la Unidad del sujeto obligado, el titular de dicha oficina debe remitirla a la Unidad respectiva y notificarlo al solicitante, dentro del día hábil siguiente a su recepción.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531037" w:rsidRPr="00CF31F6" w:rsidRDefault="00531037" w:rsidP="00531037">
      <w:pPr>
        <w:pStyle w:val="Estilo"/>
        <w:rPr>
          <w:sz w:val="20"/>
          <w:szCs w:val="20"/>
        </w:rPr>
      </w:pPr>
    </w:p>
    <w:p w:rsidR="00531037" w:rsidRPr="00CF31F6" w:rsidRDefault="00531037" w:rsidP="00531037">
      <w:pPr>
        <w:pStyle w:val="Estilo"/>
        <w:rPr>
          <w:sz w:val="20"/>
          <w:szCs w:val="20"/>
        </w:rPr>
      </w:pPr>
      <w:r w:rsidRPr="00CF31F6">
        <w:rPr>
          <w:sz w:val="20"/>
          <w:szCs w:val="20"/>
        </w:rPr>
        <w:t>5. En caso de que se presente una solicitud de acceso a la información pública ante el Instituto y éste no sea competente lo remitirá al sujeto obligado competente en los términos de los numerales anteriores.</w:t>
      </w:r>
    </w:p>
    <w:p w:rsidR="00531037" w:rsidRDefault="00531037" w:rsidP="0008475F">
      <w:pPr>
        <w:spacing w:line="360" w:lineRule="auto"/>
        <w:ind w:firstLine="720"/>
        <w:jc w:val="both"/>
        <w:rPr>
          <w:rFonts w:ascii="Calibri" w:hAnsi="Calibri" w:cs="Calibri"/>
          <w:sz w:val="24"/>
          <w:szCs w:val="24"/>
        </w:rPr>
      </w:pPr>
    </w:p>
    <w:p w:rsidR="0008475F" w:rsidRDefault="0008475F" w:rsidP="0008475F">
      <w:pPr>
        <w:spacing w:line="360" w:lineRule="auto"/>
        <w:ind w:firstLine="720"/>
        <w:jc w:val="both"/>
        <w:rPr>
          <w:rFonts w:ascii="Calibri" w:hAnsi="Calibri" w:cs="Calibri"/>
          <w:sz w:val="24"/>
          <w:szCs w:val="24"/>
        </w:rPr>
      </w:pPr>
    </w:p>
    <w:p w:rsidR="0008475F" w:rsidRDefault="0008475F" w:rsidP="0008475F">
      <w:pPr>
        <w:spacing w:line="360" w:lineRule="auto"/>
        <w:ind w:firstLine="720"/>
        <w:jc w:val="both"/>
        <w:rPr>
          <w:rFonts w:ascii="Calibri" w:hAnsi="Calibri" w:cs="Calibri"/>
          <w:sz w:val="24"/>
          <w:szCs w:val="24"/>
        </w:rPr>
      </w:pPr>
    </w:p>
    <w:p w:rsidR="00EC0591" w:rsidRDefault="00EC0591" w:rsidP="00EC0591">
      <w:pPr>
        <w:spacing w:after="0" w:line="240" w:lineRule="auto"/>
        <w:jc w:val="center"/>
        <w:rPr>
          <w:rFonts w:ascii="Baskerville Old Face" w:hAnsi="Baskerville Old Face"/>
          <w:sz w:val="40"/>
          <w:szCs w:val="40"/>
        </w:rPr>
      </w:pPr>
    </w:p>
    <w:p w:rsidR="00EC0591" w:rsidRDefault="00EC0591" w:rsidP="00EC0591">
      <w:pPr>
        <w:spacing w:after="0" w:line="240" w:lineRule="auto"/>
        <w:jc w:val="center"/>
        <w:rPr>
          <w:rFonts w:ascii="Baskerville Old Face" w:hAnsi="Baskerville Old Face"/>
          <w:sz w:val="40"/>
          <w:szCs w:val="40"/>
        </w:rPr>
      </w:pPr>
    </w:p>
    <w:p w:rsidR="00EC0591" w:rsidRDefault="00E71B09" w:rsidP="00EC0591">
      <w:pPr>
        <w:spacing w:after="0" w:line="240" w:lineRule="auto"/>
        <w:jc w:val="center"/>
        <w:rPr>
          <w:rFonts w:ascii="Baskerville Old Face" w:hAnsi="Baskerville Old Face"/>
          <w:sz w:val="40"/>
          <w:szCs w:val="40"/>
        </w:rPr>
      </w:pPr>
      <w:r>
        <w:rPr>
          <w:rFonts w:ascii="Baskerville Old Face" w:hAnsi="Baskerville Old Face"/>
          <w:sz w:val="40"/>
          <w:szCs w:val="40"/>
        </w:rPr>
        <w:t xml:space="preserve"> </w:t>
      </w:r>
      <w:r w:rsidR="00EC0591" w:rsidRPr="00EC0591">
        <w:rPr>
          <w:rFonts w:ascii="Baskerville Old Face" w:hAnsi="Baskerville Old Face"/>
          <w:sz w:val="40"/>
          <w:szCs w:val="40"/>
        </w:rPr>
        <w:t>ELABORACION, REVISION Y APROBACION</w:t>
      </w:r>
    </w:p>
    <w:p w:rsidR="00EC0591" w:rsidRPr="00EC0591" w:rsidRDefault="00EC0591" w:rsidP="00EC0591">
      <w:pPr>
        <w:spacing w:after="0" w:line="240" w:lineRule="auto"/>
        <w:jc w:val="center"/>
        <w:rPr>
          <w:rFonts w:ascii="Baskerville Old Face" w:hAnsi="Baskerville Old Face"/>
          <w:noProof/>
          <w:sz w:val="40"/>
          <w:szCs w:val="40"/>
          <w:lang w:eastAsia="es-MX"/>
        </w:rPr>
      </w:pPr>
    </w:p>
    <w:p w:rsidR="00EC0591" w:rsidRPr="00EC0591" w:rsidRDefault="00EC0591" w:rsidP="00EC0591">
      <w:pPr>
        <w:spacing w:after="0" w:line="240" w:lineRule="auto"/>
        <w:jc w:val="center"/>
        <w:rPr>
          <w:rFonts w:ascii="Baskerville Old Face" w:hAnsi="Baskerville Old Face"/>
          <w:noProof/>
          <w:sz w:val="40"/>
          <w:szCs w:val="40"/>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ELABORACION</w:t>
      </w:r>
    </w:p>
    <w:p w:rsidR="00992F55"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TITULAR DE TRANSPARENCIA</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_____________________________</w:t>
      </w:r>
    </w:p>
    <w:p w:rsidR="00EC0591" w:rsidRPr="00EC0591" w:rsidRDefault="00033CBE"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LIC. SANDRA SIRENIA SOLTERO BARAJAS</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REVISION</w:t>
      </w:r>
    </w:p>
    <w:p w:rsid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CONTRALORIA MUNICIPAL</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_____________________________</w:t>
      </w:r>
    </w:p>
    <w:p w:rsidR="00EC0591" w:rsidRPr="00EC0591" w:rsidRDefault="00033CBE"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C. MIGUEL MACARIO PEÑA GUITRON</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APROBACION</w:t>
      </w: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PRESIDENTE MUNICIPAL</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w:t>
      </w:r>
    </w:p>
    <w:p w:rsidR="00EC0591" w:rsidRPr="00EC0591" w:rsidRDefault="00033CBE"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 xml:space="preserve">C. JUAN MANUEL ESTRELLA JIMENEZ </w:t>
      </w:r>
    </w:p>
    <w:sectPr w:rsidR="00EC0591" w:rsidRPr="00EC0591" w:rsidSect="00D935CA">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FA" w:rsidRDefault="004228FA" w:rsidP="00992F55">
      <w:pPr>
        <w:spacing w:after="0" w:line="240" w:lineRule="auto"/>
      </w:pPr>
      <w:r>
        <w:separator/>
      </w:r>
    </w:p>
  </w:endnote>
  <w:endnote w:type="continuationSeparator" w:id="0">
    <w:p w:rsidR="004228FA" w:rsidRDefault="004228FA" w:rsidP="0099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dobe Hebrew">
    <w:panose1 w:val="02040503050201020203"/>
    <w:charset w:val="00"/>
    <w:family w:val="roman"/>
    <w:notTrueType/>
    <w:pitch w:val="variable"/>
    <w:sig w:usb0="8000086F" w:usb1="4000204A"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1F7A65">
    <w:pPr>
      <w:pStyle w:val="Piedepgina"/>
    </w:pPr>
    <w:r>
      <w:rPr>
        <w:noProof/>
        <w:lang w:eastAsia="es-MX"/>
      </w:rPr>
      <mc:AlternateContent>
        <mc:Choice Requires="wpg">
          <w:drawing>
            <wp:anchor distT="0" distB="0" distL="114300" distR="114300" simplePos="0" relativeHeight="251663360"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A65" w:rsidRDefault="004228FA">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27" style="position:absolute;margin-left:434.8pt;margin-top:0;width:486pt;height:21.6pt;z-index:25166336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uadro de texto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1F7A65" w:rsidRDefault="004228FA">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FA" w:rsidRDefault="004228FA" w:rsidP="00992F55">
      <w:pPr>
        <w:spacing w:after="0" w:line="240" w:lineRule="auto"/>
      </w:pPr>
      <w:r>
        <w:separator/>
      </w:r>
    </w:p>
  </w:footnote>
  <w:footnote w:type="continuationSeparator" w:id="0">
    <w:p w:rsidR="004228FA" w:rsidRDefault="004228FA" w:rsidP="0099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D935CA" w:rsidP="0065527D">
    <w:pPr>
      <w:pStyle w:val="Encabezado"/>
      <w:jc w:val="center"/>
      <w:rPr>
        <w:b/>
      </w:rPr>
    </w:pPr>
    <w:r>
      <w:rPr>
        <w:noProof/>
      </w:rPr>
      <w:drawing>
        <wp:anchor distT="0" distB="0" distL="114300" distR="114300" simplePos="0" relativeHeight="251665408" behindDoc="1" locked="0" layoutInCell="1" allowOverlap="1" wp14:anchorId="70774BDC" wp14:editId="2BA623B8">
          <wp:simplePos x="0" y="0"/>
          <wp:positionH relativeFrom="margin">
            <wp:posOffset>4367284</wp:posOffset>
          </wp:positionH>
          <wp:positionV relativeFrom="paragraph">
            <wp:posOffset>-191647</wp:posOffset>
          </wp:positionV>
          <wp:extent cx="1058545" cy="945515"/>
          <wp:effectExtent l="0" t="0" r="8255" b="6985"/>
          <wp:wrapTight wrapText="bothSides">
            <wp:wrapPolygon edited="0">
              <wp:start x="5053" y="0"/>
              <wp:lineTo x="5053" y="8704"/>
              <wp:lineTo x="6220" y="13926"/>
              <wp:lineTo x="0" y="14797"/>
              <wp:lineTo x="0" y="20889"/>
              <wp:lineTo x="7774" y="21324"/>
              <wp:lineTo x="13605" y="21324"/>
              <wp:lineTo x="21380" y="20889"/>
              <wp:lineTo x="21380" y="15232"/>
              <wp:lineTo x="20991" y="13926"/>
              <wp:lineTo x="15549" y="6963"/>
              <wp:lineTo x="15938" y="0"/>
              <wp:lineTo x="5053"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9C8">
      <w:rPr>
        <w:b/>
      </w:rPr>
      <w:t xml:space="preserve">MANUAL DE </w:t>
    </w:r>
    <w:r w:rsidR="00E65292">
      <w:rPr>
        <w:b/>
      </w:rPr>
      <w:t>SERVICIOS</w:t>
    </w:r>
    <w:r w:rsidR="0065527D" w:rsidRPr="0065527D">
      <w:rPr>
        <w:b/>
      </w:rPr>
      <w:t xml:space="preserve"> DE LA UNIDAD DE TRANSPARENCIA</w:t>
    </w:r>
  </w:p>
  <w:p w:rsidR="0065527D" w:rsidRPr="0065527D" w:rsidRDefault="0065527D" w:rsidP="0065527D">
    <w:pPr>
      <w:pStyle w:val="Encabezado"/>
      <w:jc w:val="center"/>
      <w:rPr>
        <w:b/>
      </w:rPr>
    </w:pPr>
    <w:r>
      <w:rPr>
        <w:b/>
      </w:rPr>
      <w:t>DEL H. AYUNTAMIENTO DE CUAUTLA JALISCO.</w:t>
    </w:r>
    <w:r w:rsidRPr="0065527D">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D5C13"/>
    <w:multiLevelType w:val="hybridMultilevel"/>
    <w:tmpl w:val="FCCC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117DCF"/>
    <w:multiLevelType w:val="hybridMultilevel"/>
    <w:tmpl w:val="2760EE4A"/>
    <w:lvl w:ilvl="0" w:tplc="857C6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036E58"/>
    <w:multiLevelType w:val="hybridMultilevel"/>
    <w:tmpl w:val="DE98E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F7"/>
    <w:rsid w:val="000031D7"/>
    <w:rsid w:val="00033CBE"/>
    <w:rsid w:val="0003584B"/>
    <w:rsid w:val="00044734"/>
    <w:rsid w:val="00060E12"/>
    <w:rsid w:val="0008475F"/>
    <w:rsid w:val="000D6598"/>
    <w:rsid w:val="000F2AAE"/>
    <w:rsid w:val="001F7A65"/>
    <w:rsid w:val="00202765"/>
    <w:rsid w:val="00213AB4"/>
    <w:rsid w:val="00213E79"/>
    <w:rsid w:val="00213FFA"/>
    <w:rsid w:val="002320C9"/>
    <w:rsid w:val="002328FB"/>
    <w:rsid w:val="00297D3E"/>
    <w:rsid w:val="002C0DF9"/>
    <w:rsid w:val="002F5F58"/>
    <w:rsid w:val="003209C8"/>
    <w:rsid w:val="00327BF7"/>
    <w:rsid w:val="003B4051"/>
    <w:rsid w:val="00407375"/>
    <w:rsid w:val="004205DD"/>
    <w:rsid w:val="004228FA"/>
    <w:rsid w:val="00464A62"/>
    <w:rsid w:val="004730DB"/>
    <w:rsid w:val="004B69C0"/>
    <w:rsid w:val="004D15B7"/>
    <w:rsid w:val="00531037"/>
    <w:rsid w:val="005312F0"/>
    <w:rsid w:val="00596B16"/>
    <w:rsid w:val="005D4BA7"/>
    <w:rsid w:val="005F637D"/>
    <w:rsid w:val="006446E9"/>
    <w:rsid w:val="0065527D"/>
    <w:rsid w:val="00675E03"/>
    <w:rsid w:val="006806D4"/>
    <w:rsid w:val="00697DCE"/>
    <w:rsid w:val="0070080E"/>
    <w:rsid w:val="00736272"/>
    <w:rsid w:val="00766D5D"/>
    <w:rsid w:val="00812AC9"/>
    <w:rsid w:val="00880992"/>
    <w:rsid w:val="0089189F"/>
    <w:rsid w:val="00907C66"/>
    <w:rsid w:val="009246CE"/>
    <w:rsid w:val="009768C4"/>
    <w:rsid w:val="00992F55"/>
    <w:rsid w:val="009C50AF"/>
    <w:rsid w:val="00A00965"/>
    <w:rsid w:val="00A42EC0"/>
    <w:rsid w:val="00A523C3"/>
    <w:rsid w:val="00A544E5"/>
    <w:rsid w:val="00AD3CCA"/>
    <w:rsid w:val="00AD5EB6"/>
    <w:rsid w:val="00AF2861"/>
    <w:rsid w:val="00B60FD1"/>
    <w:rsid w:val="00C3732D"/>
    <w:rsid w:val="00CF1410"/>
    <w:rsid w:val="00D935CA"/>
    <w:rsid w:val="00DB0884"/>
    <w:rsid w:val="00DD2D77"/>
    <w:rsid w:val="00DD7E43"/>
    <w:rsid w:val="00E00D4A"/>
    <w:rsid w:val="00E16745"/>
    <w:rsid w:val="00E31BAD"/>
    <w:rsid w:val="00E65292"/>
    <w:rsid w:val="00E71B09"/>
    <w:rsid w:val="00E95B64"/>
    <w:rsid w:val="00EB2D2D"/>
    <w:rsid w:val="00EC0591"/>
    <w:rsid w:val="00EC7D1D"/>
    <w:rsid w:val="00F166BD"/>
    <w:rsid w:val="00F55EBF"/>
    <w:rsid w:val="00FD179A"/>
    <w:rsid w:val="00FD6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E2B91"/>
  <w15:chartTrackingRefBased/>
  <w15:docId w15:val="{C6E6CF6F-F882-430D-8F39-80BD78BA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F55"/>
  </w:style>
  <w:style w:type="paragraph" w:styleId="Piedepgina">
    <w:name w:val="footer"/>
    <w:basedOn w:val="Normal"/>
    <w:link w:val="PiedepginaCar"/>
    <w:uiPriority w:val="99"/>
    <w:unhideWhenUsed/>
    <w:rsid w:val="00992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F55"/>
  </w:style>
  <w:style w:type="paragraph" w:styleId="Prrafodelista">
    <w:name w:val="List Paragraph"/>
    <w:basedOn w:val="Normal"/>
    <w:uiPriority w:val="34"/>
    <w:qFormat/>
    <w:rsid w:val="00B60FD1"/>
    <w:pPr>
      <w:ind w:left="720"/>
      <w:contextualSpacing/>
    </w:pPr>
  </w:style>
  <w:style w:type="table" w:styleId="Tablaconcuadrcula">
    <w:name w:val="Table Grid"/>
    <w:basedOn w:val="Tablanormal"/>
    <w:uiPriority w:val="59"/>
    <w:rsid w:val="000D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4205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EC05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591"/>
    <w:rPr>
      <w:rFonts w:ascii="Segoe UI" w:hAnsi="Segoe UI" w:cs="Segoe UI"/>
      <w:sz w:val="18"/>
      <w:szCs w:val="18"/>
    </w:rPr>
  </w:style>
  <w:style w:type="paragraph" w:customStyle="1" w:styleId="Estilo">
    <w:name w:val="Estilo"/>
    <w:basedOn w:val="Sinespaciado"/>
    <w:link w:val="EstiloCar"/>
    <w:uiPriority w:val="99"/>
    <w:rsid w:val="009C50AF"/>
    <w:pPr>
      <w:jc w:val="both"/>
    </w:pPr>
    <w:rPr>
      <w:rFonts w:ascii="Arial" w:eastAsia="Calibri" w:hAnsi="Arial" w:cs="Arial"/>
      <w:sz w:val="24"/>
      <w:szCs w:val="24"/>
    </w:rPr>
  </w:style>
  <w:style w:type="character" w:customStyle="1" w:styleId="EstiloCar">
    <w:name w:val="Estilo Car"/>
    <w:link w:val="Estilo"/>
    <w:uiPriority w:val="99"/>
    <w:locked/>
    <w:rsid w:val="009C50AF"/>
    <w:rPr>
      <w:rFonts w:ascii="Arial" w:eastAsia="Calibri" w:hAnsi="Arial" w:cs="Arial"/>
      <w:sz w:val="24"/>
      <w:szCs w:val="24"/>
    </w:rPr>
  </w:style>
  <w:style w:type="paragraph" w:styleId="Sinespaciado">
    <w:name w:val="No Spacing"/>
    <w:uiPriority w:val="1"/>
    <w:qFormat/>
    <w:rsid w:val="009C50AF"/>
    <w:pPr>
      <w:spacing w:after="0" w:line="240" w:lineRule="auto"/>
    </w:pPr>
  </w:style>
  <w:style w:type="character" w:styleId="Textoennegrita">
    <w:name w:val="Strong"/>
    <w:basedOn w:val="Fuentedeprrafopredeter"/>
    <w:uiPriority w:val="22"/>
    <w:qFormat/>
    <w:rsid w:val="00A523C3"/>
    <w:rPr>
      <w:b/>
      <w:bCs/>
    </w:rPr>
  </w:style>
  <w:style w:type="character" w:customStyle="1" w:styleId="style2">
    <w:name w:val="style2"/>
    <w:basedOn w:val="Fuentedeprrafopredeter"/>
    <w:rsid w:val="00A523C3"/>
  </w:style>
  <w:style w:type="character" w:customStyle="1" w:styleId="style3">
    <w:name w:val="style3"/>
    <w:basedOn w:val="Fuentedeprrafopredeter"/>
    <w:rsid w:val="00A523C3"/>
  </w:style>
  <w:style w:type="paragraph" w:customStyle="1" w:styleId="style41">
    <w:name w:val="style41"/>
    <w:basedOn w:val="Normal"/>
    <w:rsid w:val="00A523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523C3"/>
  </w:style>
  <w:style w:type="character" w:customStyle="1" w:styleId="style4">
    <w:name w:val="style4"/>
    <w:basedOn w:val="Fuentedeprrafopredeter"/>
    <w:rsid w:val="00A523C3"/>
  </w:style>
  <w:style w:type="character" w:styleId="Hipervnculo">
    <w:name w:val="Hyperlink"/>
    <w:basedOn w:val="Fuentedeprrafopredeter"/>
    <w:uiPriority w:val="99"/>
    <w:semiHidden/>
    <w:unhideWhenUsed/>
    <w:rsid w:val="00A52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3998</Words>
  <Characters>21993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UNIDAD DE TRANSPARENCIA</vt:lpstr>
    </vt:vector>
  </TitlesOfParts>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TRANSPARENCIA</dc:title>
  <dc:subject>ADMINISTRACION 2015-2018</dc:subject>
  <dc:creator>Windows User</dc:creator>
  <cp:keywords/>
  <dc:description/>
  <cp:lastModifiedBy>H. Ayuntamiento</cp:lastModifiedBy>
  <cp:revision>11</cp:revision>
  <cp:lastPrinted>2016-03-04T18:16:00Z</cp:lastPrinted>
  <dcterms:created xsi:type="dcterms:W3CDTF">2019-06-25T17:08:00Z</dcterms:created>
  <dcterms:modified xsi:type="dcterms:W3CDTF">2019-06-25T17:57:00Z</dcterms:modified>
</cp:coreProperties>
</file>