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>
              <w:t xml:space="preserve"> 01 al 31 de mayo 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2F23D3" w:rsidP="00EB2954">
            <w:pPr>
              <w:tabs>
                <w:tab w:val="left" w:pos="2625"/>
              </w:tabs>
            </w:pPr>
            <w:r>
              <w:t>11</w:t>
            </w:r>
          </w:p>
        </w:tc>
        <w:tc>
          <w:tcPr>
            <w:tcW w:w="5634" w:type="dxa"/>
            <w:gridSpan w:val="2"/>
          </w:tcPr>
          <w:p w:rsidR="00EB2954" w:rsidRDefault="00A34202" w:rsidP="00EB2954">
            <w:pPr>
              <w:tabs>
                <w:tab w:val="left" w:pos="2625"/>
              </w:tabs>
            </w:pPr>
            <w:r>
              <w:t xml:space="preserve">Vía </w:t>
            </w:r>
            <w:r w:rsidR="00627A10">
              <w:t>telefónica</w:t>
            </w:r>
            <w:bookmarkStart w:id="0" w:name="_GoBack"/>
            <w:bookmarkEnd w:id="0"/>
            <w:r>
              <w:t xml:space="preserve"> debido a contingencia Covid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2F23D3" w:rsidP="00EB2954">
            <w:pPr>
              <w:tabs>
                <w:tab w:val="left" w:pos="2625"/>
              </w:tabs>
            </w:pPr>
            <w:r>
              <w:t>11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2F23D3" w:rsidP="00EB2954">
            <w:pPr>
              <w:tabs>
                <w:tab w:val="left" w:pos="2625"/>
              </w:tabs>
            </w:pPr>
            <w:r>
              <w:t>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7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11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2F23D3"/>
    <w:rsid w:val="004C172A"/>
    <w:rsid w:val="00627A10"/>
    <w:rsid w:val="006C2C99"/>
    <w:rsid w:val="007A46C8"/>
    <w:rsid w:val="00A34202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2020-06-05T17:07:00Z</dcterms:created>
  <dcterms:modified xsi:type="dcterms:W3CDTF">2020-06-05T18:00:00Z</dcterms:modified>
</cp:coreProperties>
</file>